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93" w:rsidRPr="00391293" w:rsidRDefault="00391293" w:rsidP="00391293">
      <w:pPr>
        <w:keepNext/>
        <w:keepLines/>
        <w:numPr>
          <w:ilvl w:val="1"/>
          <w:numId w:val="0"/>
        </w:numPr>
        <w:spacing w:before="360" w:after="0"/>
        <w:ind w:left="576" w:hanging="576"/>
        <w:outlineLvl w:val="1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</w:pPr>
      <w:bookmarkStart w:id="0" w:name="_Toc534546013"/>
      <w:bookmarkStart w:id="1" w:name="_Toc17912940"/>
      <w:bookmarkStart w:id="2" w:name="_GoBack"/>
      <w:bookmarkEnd w:id="2"/>
      <w:r w:rsidRPr="00391293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  <w:t>Functional Requirements</w:t>
      </w:r>
      <w:bookmarkEnd w:id="0"/>
      <w:bookmarkEnd w:id="1"/>
    </w:p>
    <w:p w:rsidR="00391293" w:rsidRPr="00391293" w:rsidRDefault="00391293" w:rsidP="00391293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391293">
        <w:rPr>
          <w:rFonts w:ascii="Calibri" w:eastAsia="Times New Roman" w:hAnsi="Calibri" w:cs="Times New Roman"/>
          <w:szCs w:val="24"/>
        </w:rPr>
        <w:t xml:space="preserve">The Functional Requirements for the technology being sought by Community Healthcore are detailed in the following business areas. </w:t>
      </w:r>
      <w:r>
        <w:rPr>
          <w:rFonts w:ascii="Calibri" w:eastAsia="Times New Roman" w:hAnsi="Calibri" w:cs="Times New Roman"/>
          <w:szCs w:val="24"/>
        </w:rPr>
        <w:t xml:space="preserve"> Please describe in the far right column how your system meets or exceeds this functional need.   </w:t>
      </w:r>
    </w:p>
    <w:p w:rsidR="00391293" w:rsidRPr="00391293" w:rsidRDefault="00391293" w:rsidP="003912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391293">
        <w:rPr>
          <w:rFonts w:ascii="Calibri" w:eastAsia="Times New Roman" w:hAnsi="Calibri" w:cs="Calibri"/>
          <w:szCs w:val="24"/>
        </w:rPr>
        <w:t xml:space="preserve"> </w:t>
      </w:r>
    </w:p>
    <w:tbl>
      <w:tblPr>
        <w:tblW w:w="12955" w:type="dxa"/>
        <w:tblInd w:w="-5" w:type="dxa"/>
        <w:tblLook w:val="04A0" w:firstRow="1" w:lastRow="0" w:firstColumn="1" w:lastColumn="0" w:noHBand="0" w:noVBand="1"/>
      </w:tblPr>
      <w:tblGrid>
        <w:gridCol w:w="2070"/>
        <w:gridCol w:w="5400"/>
        <w:gridCol w:w="5485"/>
      </w:tblGrid>
      <w:tr w:rsidR="00391293" w:rsidRPr="00391293" w:rsidTr="00391293">
        <w:trPr>
          <w:trHeight w:val="39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91293">
              <w:rPr>
                <w:rFonts w:eastAsia="Times New Roman" w:cs="Arial"/>
                <w:b/>
                <w:bCs/>
              </w:rPr>
              <w:t>Reference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91293">
              <w:rPr>
                <w:rFonts w:eastAsia="Times New Roman" w:cs="Arial"/>
                <w:b/>
                <w:bCs/>
              </w:rPr>
              <w:t>EHR Requirement/Expectation Description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Vendor’s Response</w:t>
            </w: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Intake/Assessment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Allows for a brief intake and initial meeting process that allows Community Healthcore to quickly and effectively assess and meet clients' most immediate needs 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91293">
              <w:rPr>
                <w:rFonts w:eastAsia="Times New Roman" w:cs="Arial"/>
                <w:color w:val="000000"/>
              </w:rPr>
              <w:t>Intake/Assessment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Incorporates Community Healthcore level of care protocols by program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91293">
              <w:rPr>
                <w:rFonts w:eastAsia="Times New Roman" w:cs="Arial"/>
                <w:color w:val="000000"/>
              </w:rPr>
              <w:t>Intake/Assessment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Can include questions from required federal and state forms and capture and store information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91293">
              <w:rPr>
                <w:rFonts w:eastAsia="Times New Roman" w:cs="Arial"/>
                <w:color w:val="000000"/>
              </w:rPr>
              <w:t>Intake/Assessment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Ability to create tailored forms/questions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91293">
              <w:rPr>
                <w:rFonts w:eastAsia="Times New Roman" w:cs="Arial"/>
                <w:color w:val="000000"/>
              </w:rPr>
              <w:t>Intake/Assessment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easily skip around in the form from one field or question to another AND to require certain mandatory questions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91293">
              <w:rPr>
                <w:rFonts w:eastAsia="Times New Roman" w:cs="Arial"/>
                <w:color w:val="000000"/>
              </w:rPr>
              <w:t>Intake/Assessment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send alerts/tasks to all levels of staff as reminders to complete work in que/process within required timeframes and for monitoring by supervisors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Intake/Assignment Process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identify existing clients and most recent care team</w:t>
            </w:r>
            <w:r w:rsidR="00B11B8B">
              <w:rPr>
                <w:rFonts w:eastAsia="Times New Roman" w:cs="Arial"/>
                <w:color w:val="000000"/>
              </w:rPr>
              <w:t xml:space="preserve"> utilizing person served demographic information. 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Billing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Captures cost of the services identified in the record and calculates total cost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Billing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Ability to bill by start and stop times and varying unit-based time formats, procedure based and monthly roll up, monthly perspective payment and other APM.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Billing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Interfaces with health insurance companies and /or clearinghouse, including submissions of claims, billing, compliance with any prior authorization requirements, etc.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Billing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have services documented as billable or non-billable and be able to drive generation of billing files in standard formats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Billing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create logic to algorithm to drive billing based multiple payment structures including fee for service, case rate, capitation, per-diem, enrollment based etc.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Billing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support multiple sliding fee and payment discount table structures as well as payer specific cost and charge schedules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Client-Centered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Provides clients with an electronic copy of their health information record upon request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Client-Centered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Provides clients with electronic access (via a client portal) to their health information and to print record in real time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Client-Centered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Sends reminders to clients, per client preference, for preventive/follow-up care (i.e. mobile, text, email based on preference)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Client-Centered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Incorporates patient/client preferences including cultural and linguistic preferences.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Coordination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Allows coordination between all involved stakeholders, including Community Healthcore staff and external providers/partners.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Coordination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Incorporates Continuity of Care Document (CCD)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Data and Information Exchange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Exchanges key information electronically within Community Healthcore and to other health providers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Data and Information Exchange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Interface and exchange data with other EHRs / other providers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Data and Information Exchange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</w:rPr>
            </w:pPr>
            <w:r w:rsidRPr="00391293">
              <w:rPr>
                <w:rFonts w:eastAsia="Times New Roman" w:cs="Arial"/>
              </w:rPr>
              <w:t xml:space="preserve">Allows for real-time alerts and data feeds from external care providers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Data and Information Exchange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Can easily connect to, and exchange data with, other systems such as state/local HIE, lab facilities, e-Prescribe, or partner organization systems.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8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Data and Information Exchange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for provider to receive automatic notification of ER/IP alerts, either on a dashboard or via email or other form of notification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Decision Support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Incorporates decision support, using evidence-based treatment protocols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lastRenderedPageBreak/>
              <w:t>Gaps in Care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Ability for the provider to record any missed services as an event in the member’s record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9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Gaps in Care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for provider to enter services as provided and/or to create and track referrals and document when services are provided (to alleviate the need to wait for claims to hit)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Gaps in Care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upload claims data to determine potential gaps in care, total spend/cost of member etc.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Decision support tools to identify services matched to identified needs based on assessment/diagnosis (could prepopulate the record, with ability for provider to make changes)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Produce health record with patient-centered or clinician centered presentation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Drop down menu of covered benefits in the programs for which the member is eligible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Indicate authorization of the services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share the record with the interdisciplinary care team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accept electronic signatures</w:t>
            </w:r>
            <w:r w:rsidR="00B11B8B">
              <w:rPr>
                <w:rFonts w:eastAsia="Times New Roman" w:cs="Arial"/>
                <w:color w:val="000000"/>
              </w:rPr>
              <w:t xml:space="preserve"> persons served / staff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capture all required fields for Community Healthcore specific programs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capture all required fields for programmatic reporting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109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Documentation to capture member consent or other consent by provider fully in structured data that can drive data sharing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109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B8B" w:rsidRPr="0039129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8B" w:rsidRPr="00391293" w:rsidRDefault="00B11B8B" w:rsidP="00B11B8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Record must allow late entry with the time of the note captured in the record.   System must be able to report on late entries.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B11B8B">
        <w:trPr>
          <w:trHeight w:val="6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B8B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11B8B">
              <w:rPr>
                <w:rFonts w:eastAsia="Times New Roman" w:cs="Arial"/>
                <w:color w:val="000000"/>
              </w:rPr>
              <w:t>Health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8B" w:rsidRDefault="00B11B8B" w:rsidP="00B11B8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</w:t>
            </w:r>
            <w:r w:rsidRPr="00B11B8B">
              <w:rPr>
                <w:rFonts w:eastAsia="Times New Roman" w:cs="Arial"/>
                <w:color w:val="000000"/>
              </w:rPr>
              <w:t>n entry cannot be altered but can be amended.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Maintains active medication list and conducts medication reconciliation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Implements drug-drug, drug-allergy checks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Generates and transmits prescriptions electronically including controlled substances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Identify and flag potential medication contraindications for medication choices in light of existing medical conditions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8B" w:rsidRPr="003516F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2" w:rsidRPr="003516F3" w:rsidRDefault="00117BC2" w:rsidP="00117BC2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Identify how the e-MAR interacts with e-prescribing and the patient's medication list.  </w:t>
            </w:r>
            <w:r w:rsidRPr="003516F3">
              <w:rPr>
                <w:rFonts w:eastAsia="Times New Roman" w:cs="Arial"/>
              </w:rPr>
              <w:cr/>
              <w:t xml:space="preserve">Identify the process for accessing the e-MAR during system downtime.  Describe the e-MAR and the group e-MAR printing capabilities. 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8B" w:rsidRPr="003516F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>Medications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8B" w:rsidRPr="003516F3" w:rsidRDefault="00B11B8B" w:rsidP="00B11B8B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3516F3">
              <w:rPr>
                <w:rFonts w:eastAsia="Times New Roman" w:cs="Arial"/>
              </w:rPr>
              <w:t xml:space="preserve">System requires two factor authentication for prescribers for controlled and dangerous substances.  </w:t>
            </w:r>
            <w:r w:rsidR="00117BC2" w:rsidRPr="003516F3">
              <w:rPr>
                <w:rFonts w:eastAsia="Times New Roman" w:cs="Arial"/>
              </w:rPr>
              <w:t xml:space="preserve">Describe the proof of identification process. 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144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Predefined activities/types of services (for example, to select from a drop-down menu) and checklists in the system to serve as a support tool for providers and to facilitate monitoring of the care activities.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9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share member record with provider team (i.e. system will have ability to define roles to enable access to certain levels of information in a member’s record)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scan and attach documents in the member’s record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Ability to reflect eligibility status for services including insurance coverage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Maintains an up-to-date list of current diagnoses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Incorporates lab-test results into record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Records client demographics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B8B" w:rsidRPr="0039129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Member Record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How do you assign to patient records roles, locations or units including to block individuals as needed.  And what type of audit trail for that type of access.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Practice Management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B11B8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Allows supervisor to review and document in the </w:t>
            </w:r>
            <w:r w:rsidR="00B11B8B">
              <w:rPr>
                <w:rFonts w:eastAsia="Times New Roman" w:cs="Arial"/>
                <w:color w:val="000000"/>
              </w:rPr>
              <w:t xml:space="preserve">EHR.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8B" w:rsidRPr="0039129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Practice Management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8B" w:rsidRPr="00391293" w:rsidRDefault="00B11B8B" w:rsidP="00B11B8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Does the system have a multi-supervisor approval level?  If so, describe.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9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Practice Management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</w:rPr>
            </w:pPr>
            <w:r w:rsidRPr="00391293">
              <w:rPr>
                <w:rFonts w:eastAsia="Times New Roman" w:cs="Arial"/>
              </w:rPr>
              <w:t>Tracks documentation, billing data, and staff productivity. Provides executives, managers, staff, and clients with easily accessible reimbursement rates and utilization statistics by client, staff, program, location and unit.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lastRenderedPageBreak/>
              <w:t>Quality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Generates lists of patients by specific conditions to use for quality improvement, reduction of disparities, research, and outreach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Quality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 xml:space="preserve">Ability to audit member records, i.e. identify which components of a member’s record are missing based upon a defined list of components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Quality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Customizable </w:t>
            </w:r>
            <w:r w:rsidR="00391293" w:rsidRPr="00391293">
              <w:rPr>
                <w:rFonts w:eastAsia="Times New Roman" w:cs="Arial"/>
                <w:color w:val="000000"/>
              </w:rPr>
              <w:t>Dashboards to view on a daily basis to determine schedule of activities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Quality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Administrative dashboards to view and monitor program statistics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B8B" w:rsidRPr="0039129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11B8B">
              <w:rPr>
                <w:rFonts w:eastAsia="Times New Roman" w:cs="Arial"/>
                <w:color w:val="000000"/>
              </w:rPr>
              <w:t>Quality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B8B" w:rsidRPr="00391293" w:rsidRDefault="00B11B8B" w:rsidP="00B11B8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System must have a robust Business Intelligence functionality to create customized reporting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Reporting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All fields are reportable for internal quality improvement purposes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Reporting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Flexibility to produce reports as federal, state, billing or program requirements change (ability to add fields as well as all fields be reportable)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Reporting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91293">
              <w:rPr>
                <w:rFonts w:eastAsia="Times New Roman" w:cs="Arial"/>
                <w:color w:val="000000"/>
              </w:rPr>
              <w:t>Almost all structured data fields are reportable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91293" w:rsidRPr="00391293" w:rsidTr="00391293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293" w:rsidRPr="003516F3" w:rsidRDefault="00391293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>Reporting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293" w:rsidRPr="003516F3" w:rsidRDefault="00391293" w:rsidP="00B11B8B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>State Reporting (Guarantees the ability to comply with federal, state of Texas for Community Centers / Certified Community Behavioral Health Clinics</w:t>
            </w:r>
            <w:r w:rsidR="00B11B8B" w:rsidRPr="003516F3">
              <w:rPr>
                <w:rFonts w:eastAsia="Times New Roman" w:cs="Arial"/>
              </w:rPr>
              <w:t>)</w:t>
            </w:r>
            <w:r w:rsidRPr="003516F3">
              <w:rPr>
                <w:rFonts w:eastAsia="Times New Roman" w:cs="Arial"/>
              </w:rPr>
              <w:t xml:space="preserve"> or </w:t>
            </w:r>
            <w:r w:rsidR="00B11B8B" w:rsidRPr="003516F3">
              <w:rPr>
                <w:rFonts w:eastAsia="Times New Roman" w:cs="Arial"/>
              </w:rPr>
              <w:t>similar experience</w:t>
            </w:r>
            <w:r w:rsidRPr="003516F3">
              <w:rPr>
                <w:rFonts w:eastAsia="Times New Roman" w:cs="Arial"/>
              </w:rPr>
              <w:t xml:space="preserve"> and local regulations and requirements for quality and performance measures reporting</w:t>
            </w:r>
            <w:r w:rsidR="00B11B8B" w:rsidRPr="003516F3">
              <w:rPr>
                <w:rFonts w:eastAsia="Times New Roman" w:cs="Arial"/>
              </w:rPr>
              <w:t>.  The State designates specific forms format required by the State.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293" w:rsidRPr="00391293" w:rsidRDefault="00391293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B11B8B" w:rsidRPr="00391293" w:rsidTr="00391293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B8B" w:rsidRPr="003516F3" w:rsidRDefault="00B11B8B" w:rsidP="0039129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Workflows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Describe the workflows in the areas of configuration, modeling, and customization tools: </w:t>
            </w:r>
          </w:p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User interface </w:t>
            </w:r>
          </w:p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Menus </w:t>
            </w:r>
          </w:p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Screens and navigation functions </w:t>
            </w:r>
          </w:p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Forms </w:t>
            </w:r>
          </w:p>
          <w:p w:rsidR="006024DA" w:rsidRPr="003516F3" w:rsidRDefault="006024DA" w:rsidP="006024DA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Report writing </w:t>
            </w:r>
          </w:p>
          <w:p w:rsidR="00B11B8B" w:rsidRPr="003516F3" w:rsidRDefault="006024DA" w:rsidP="00B11B8B">
            <w:pPr>
              <w:spacing w:after="0" w:line="240" w:lineRule="auto"/>
              <w:rPr>
                <w:rFonts w:eastAsia="Times New Roman" w:cs="Arial"/>
              </w:rPr>
            </w:pPr>
            <w:r w:rsidRPr="003516F3">
              <w:rPr>
                <w:rFonts w:eastAsia="Times New Roman" w:cs="Arial"/>
              </w:rPr>
              <w:t xml:space="preserve">- Tables 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8B" w:rsidRPr="00391293" w:rsidRDefault="00B11B8B" w:rsidP="003912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391293" w:rsidRPr="00391293" w:rsidRDefault="00391293" w:rsidP="00391293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DE45DB" w:rsidRDefault="00DE45DB"/>
    <w:sectPr w:rsidR="00DE45DB" w:rsidSect="0039129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F8" w:rsidRDefault="00A467F8" w:rsidP="00391293">
      <w:pPr>
        <w:spacing w:after="0" w:line="240" w:lineRule="auto"/>
      </w:pPr>
      <w:r>
        <w:separator/>
      </w:r>
    </w:p>
  </w:endnote>
  <w:endnote w:type="continuationSeparator" w:id="0">
    <w:p w:rsidR="00A467F8" w:rsidRDefault="00A467F8" w:rsidP="003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93" w:rsidRPr="003516F3" w:rsidRDefault="006E7304">
    <w:pPr>
      <w:pStyle w:val="Footer"/>
    </w:pPr>
    <w:r w:rsidRPr="003516F3">
      <w:t>3/24</w:t>
    </w:r>
    <w:r w:rsidR="00B11B8B" w:rsidRPr="003516F3">
      <w:t>/</w:t>
    </w:r>
    <w:r w:rsidRPr="003516F3">
      <w:t>20</w:t>
    </w:r>
    <w:r w:rsidR="00B11B8B" w:rsidRPr="003516F3">
      <w:t>23</w:t>
    </w:r>
    <w:r w:rsidR="00391293" w:rsidRPr="003516F3">
      <w:ptab w:relativeTo="margin" w:alignment="center" w:leader="none"/>
    </w:r>
    <w:r w:rsidR="00101695" w:rsidRPr="003516F3">
      <w:t xml:space="preserve">Page </w:t>
    </w:r>
    <w:r w:rsidR="00101695" w:rsidRPr="003516F3">
      <w:fldChar w:fldCharType="begin"/>
    </w:r>
    <w:r w:rsidR="00101695" w:rsidRPr="003516F3">
      <w:instrText xml:space="preserve"> PAGE   \* MERGEFORMAT </w:instrText>
    </w:r>
    <w:r w:rsidR="00101695" w:rsidRPr="003516F3">
      <w:fldChar w:fldCharType="separate"/>
    </w:r>
    <w:r w:rsidR="00D95CC4">
      <w:rPr>
        <w:noProof/>
      </w:rPr>
      <w:t>1</w:t>
    </w:r>
    <w:r w:rsidR="00101695" w:rsidRPr="003516F3">
      <w:rPr>
        <w:noProof/>
      </w:rPr>
      <w:fldChar w:fldCharType="end"/>
    </w:r>
    <w:r w:rsidR="00391293" w:rsidRPr="003516F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F8" w:rsidRDefault="00A467F8" w:rsidP="00391293">
      <w:pPr>
        <w:spacing w:after="0" w:line="240" w:lineRule="auto"/>
      </w:pPr>
      <w:r>
        <w:separator/>
      </w:r>
    </w:p>
  </w:footnote>
  <w:footnote w:type="continuationSeparator" w:id="0">
    <w:p w:rsidR="00A467F8" w:rsidRDefault="00A467F8" w:rsidP="003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F7" w:rsidRPr="003516F3" w:rsidRDefault="00391293">
    <w:pPr>
      <w:pStyle w:val="Header"/>
    </w:pPr>
    <w:r w:rsidRPr="003516F3">
      <w:t>RFP        100</w:t>
    </w:r>
    <w:r w:rsidR="00B11B8B" w:rsidRPr="003516F3">
      <w:t>8</w:t>
    </w:r>
    <w:r w:rsidRPr="003516F3">
      <w:t xml:space="preserve">-23 </w:t>
    </w:r>
  </w:p>
  <w:p w:rsidR="00391293" w:rsidRPr="003516F3" w:rsidRDefault="00B466F7">
    <w:pPr>
      <w:pStyle w:val="Header"/>
    </w:pPr>
    <w:r w:rsidRPr="003516F3">
      <w:t xml:space="preserve">Attachment A.III.B. </w:t>
    </w:r>
    <w:r w:rsidR="00391293" w:rsidRPr="003516F3">
      <w:t>Functional Requirements</w:t>
    </w:r>
    <w:r w:rsidR="00477F5C" w:rsidRPr="003516F3">
      <w:t xml:space="preserve"> - Revised</w:t>
    </w:r>
  </w:p>
  <w:p w:rsidR="00391293" w:rsidRPr="003516F3" w:rsidRDefault="00391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9098E"/>
    <w:multiLevelType w:val="hybridMultilevel"/>
    <w:tmpl w:val="7B50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960B9"/>
    <w:multiLevelType w:val="hybridMultilevel"/>
    <w:tmpl w:val="EDF0B9C0"/>
    <w:lvl w:ilvl="0" w:tplc="8C54FB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93"/>
    <w:rsid w:val="00101695"/>
    <w:rsid w:val="00117BC2"/>
    <w:rsid w:val="003516F3"/>
    <w:rsid w:val="00391293"/>
    <w:rsid w:val="003C5BB3"/>
    <w:rsid w:val="00477F5C"/>
    <w:rsid w:val="006024DA"/>
    <w:rsid w:val="006E7304"/>
    <w:rsid w:val="00A467F8"/>
    <w:rsid w:val="00B11B8B"/>
    <w:rsid w:val="00B466F7"/>
    <w:rsid w:val="00B60E0F"/>
    <w:rsid w:val="00D95CC4"/>
    <w:rsid w:val="00DE45DB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3EC96-8DCE-4F4F-AE47-0B07AE2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93"/>
  </w:style>
  <w:style w:type="paragraph" w:styleId="Footer">
    <w:name w:val="footer"/>
    <w:basedOn w:val="Normal"/>
    <w:link w:val="FooterChar"/>
    <w:uiPriority w:val="99"/>
    <w:unhideWhenUsed/>
    <w:rsid w:val="0039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93"/>
  </w:style>
  <w:style w:type="paragraph" w:styleId="ListParagraph">
    <w:name w:val="List Paragraph"/>
    <w:basedOn w:val="Normal"/>
    <w:uiPriority w:val="34"/>
    <w:qFormat/>
    <w:rsid w:val="006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0BE3-F80C-4818-B7A3-732F0E73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Shawn Ormes</cp:lastModifiedBy>
  <cp:revision>2</cp:revision>
  <dcterms:created xsi:type="dcterms:W3CDTF">2023-03-24T20:16:00Z</dcterms:created>
  <dcterms:modified xsi:type="dcterms:W3CDTF">2023-03-24T20:16:00Z</dcterms:modified>
</cp:coreProperties>
</file>